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Liberation Serif" w:hAnsi="Liberation Serif"/>
          <w:b/>
          <w:b/>
          <w:bCs/>
        </w:rPr>
      </w:pPr>
      <w:r>
        <w:rPr>
          <w:rFonts w:ascii="Liberation Serif" w:hAnsi="Liberation Serif"/>
          <w:b/>
          <w:bCs/>
        </w:rPr>
        <w:t>ОТЧЕТ</w:t>
      </w:r>
    </w:p>
    <w:p>
      <w:pPr>
        <w:pStyle w:val="Normal"/>
        <w:jc w:val="center"/>
        <w:rPr>
          <w:rFonts w:ascii="Liberation Serif" w:hAnsi="Liberation Serif"/>
          <w:b/>
          <w:b/>
        </w:rPr>
      </w:pPr>
      <w:r>
        <w:rPr>
          <w:rFonts w:ascii="Liberation Serif" w:hAnsi="Liberation Serif"/>
          <w:b/>
          <w:bCs/>
        </w:rPr>
        <w:t xml:space="preserve">О реализации муниципальной подпрограммы </w:t>
      </w:r>
      <w:r>
        <w:rPr>
          <w:rFonts w:ascii="Liberation Serif" w:hAnsi="Liberation Serif"/>
          <w:b/>
        </w:rPr>
        <w:t>«Развитие жилищно-коммунального хозяйства и повышение энергетической</w:t>
      </w:r>
    </w:p>
    <w:p>
      <w:pPr>
        <w:pStyle w:val="ConsPlusNormal"/>
        <w:jc w:val="center"/>
        <w:rPr>
          <w:rFonts w:ascii="Liberation Serif" w:hAnsi="Liberation Serif" w:cs="Times New Roman"/>
          <w:b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 xml:space="preserve">эффективности в Шалинском </w:t>
      </w:r>
      <w:r>
        <w:rPr>
          <w:rFonts w:eastAsia="Times New Roman" w:cs="Times New Roman" w:ascii="Liberation Serif" w:hAnsi="Liberation Serif"/>
          <w:b/>
          <w:sz w:val="24"/>
          <w:szCs w:val="24"/>
          <w:lang w:eastAsia="ru-RU"/>
        </w:rPr>
        <w:t>муниципальном</w:t>
      </w:r>
      <w:r>
        <w:rPr>
          <w:rFonts w:cs="Times New Roman" w:ascii="Liberation Serif" w:hAnsi="Liberation Serif"/>
          <w:b/>
          <w:sz w:val="24"/>
          <w:szCs w:val="24"/>
        </w:rPr>
        <w:t xml:space="preserve"> округе до 20</w:t>
      </w:r>
      <w:r>
        <w:rPr>
          <w:rFonts w:eastAsia="Times New Roman" w:cs="Times New Roman" w:ascii="Liberation Serif" w:hAnsi="Liberation Serif"/>
          <w:b/>
          <w:color w:val="auto"/>
          <w:kern w:val="0"/>
          <w:sz w:val="24"/>
          <w:szCs w:val="24"/>
          <w:lang w:val="ru-RU" w:eastAsia="ru-RU" w:bidi="ar-SA"/>
        </w:rPr>
        <w:t>30</w:t>
      </w:r>
      <w:r>
        <w:rPr>
          <w:rFonts w:cs="Times New Roman" w:ascii="Liberation Serif" w:hAnsi="Liberation Serif"/>
          <w:b/>
          <w:sz w:val="24"/>
          <w:szCs w:val="24"/>
        </w:rPr>
        <w:t xml:space="preserve"> года»</w:t>
      </w:r>
    </w:p>
    <w:p>
      <w:pPr>
        <w:pStyle w:val="Normal"/>
        <w:jc w:val="center"/>
        <w:rPr>
          <w:rFonts w:ascii="Liberation Serif" w:hAnsi="Liberation Serif"/>
          <w:b/>
          <w:b/>
          <w:bCs/>
        </w:rPr>
      </w:pPr>
      <w:r>
        <w:rPr>
          <w:rFonts w:ascii="Liberation Serif" w:hAnsi="Liberation Serif"/>
          <w:b/>
          <w:bCs/>
        </w:rPr>
        <w:t>ДОСТИЖЕНИЕ ЦЕЛЕВЫХ ПОКАЗАТЕЛЕЙ МУНИЦИПАЛЬНОЙ ПРОГРАММЫ</w:t>
      </w:r>
    </w:p>
    <w:p>
      <w:pPr>
        <w:pStyle w:val="Normal"/>
        <w:jc w:val="center"/>
        <w:rPr>
          <w:rFonts w:ascii="Liberation Serif" w:hAnsi="Liberation Serif"/>
          <w:b/>
          <w:b/>
          <w:bCs/>
        </w:rPr>
      </w:pPr>
      <w:r>
        <w:rPr>
          <w:rFonts w:ascii="Liberation Serif" w:hAnsi="Liberation Serif"/>
          <w:b/>
          <w:bCs/>
        </w:rPr>
        <w:t>за 1 полугодие 2025 года</w:t>
      </w:r>
    </w:p>
    <w:p>
      <w:pPr>
        <w:pStyle w:val="Normal"/>
        <w:jc w:val="center"/>
        <w:rPr>
          <w:rFonts w:ascii="Liberation Serif" w:hAnsi="Liberation Serif"/>
          <w:b/>
          <w:b/>
          <w:bCs/>
        </w:rPr>
      </w:pPr>
      <w:r>
        <w:rPr>
          <w:rFonts w:ascii="Liberation Serif" w:hAnsi="Liberation Serif"/>
          <w:b/>
          <w:bCs/>
        </w:rPr>
        <w:t>(отчетный период)</w:t>
      </w:r>
    </w:p>
    <w:p>
      <w:pPr>
        <w:pStyle w:val="ConsPlusNormal"/>
        <w:jc w:val="center"/>
        <w:rPr>
          <w:rFonts w:ascii="Liberation Serif" w:hAnsi="Liberation Serif"/>
          <w:b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 xml:space="preserve"> </w:t>
      </w:r>
      <w:r>
        <w:rPr>
          <w:rFonts w:ascii="Liberation Serif" w:hAnsi="Liberation Serif"/>
          <w:b/>
          <w:bCs/>
          <w:sz w:val="24"/>
          <w:szCs w:val="24"/>
        </w:rPr>
        <w:t xml:space="preserve">(Раздел 3.Восстановление и развитие объектов внешнего благоустройства) </w:t>
      </w:r>
    </w:p>
    <w:p>
      <w:pPr>
        <w:pStyle w:val="ConsPlusNormal"/>
        <w:jc w:val="both"/>
        <w:rPr>
          <w:rFonts w:ascii="Liberation Serif" w:hAnsi="Liberation Serif"/>
          <w:b/>
          <w:b/>
          <w:bCs/>
          <w:sz w:val="24"/>
          <w:szCs w:val="24"/>
        </w:rPr>
      </w:pPr>
      <w:r>
        <w:rPr>
          <w:rFonts w:ascii="Liberation Serif" w:hAnsi="Liberation Serif"/>
          <w:sz w:val="28"/>
          <w:szCs w:val="28"/>
        </w:rPr>
        <w:t>Отчёт по объёмам финансирования и исполнению плановых целевых показателей составлен в соответствии с постановлением администрации Шалинского городского округа от</w:t>
      </w:r>
      <w:r>
        <w:rPr>
          <w:rFonts w:ascii="Liberation Serif" w:hAnsi="Liberation Serif"/>
          <w:sz w:val="28"/>
          <w:szCs w:val="28"/>
          <w:lang w:val="en-US"/>
        </w:rPr>
        <w:t xml:space="preserve"> 17.</w:t>
      </w:r>
      <w:r>
        <w:rPr>
          <w:rFonts w:ascii="Liberation Serif" w:hAnsi="Liberation Serif"/>
          <w:sz w:val="28"/>
          <w:szCs w:val="28"/>
          <w:lang w:val="ru-RU"/>
        </w:rPr>
        <w:t xml:space="preserve">06.2025 года </w:t>
      </w:r>
      <w:r>
        <w:rPr>
          <w:rFonts w:ascii="Liberation Serif" w:hAnsi="Liberation Serif"/>
          <w:sz w:val="28"/>
          <w:szCs w:val="28"/>
          <w:lang w:val="en-US"/>
        </w:rPr>
        <w:t xml:space="preserve"> </w:t>
      </w:r>
      <w:r>
        <w:rPr>
          <w:rFonts w:ascii="Liberation Serif" w:hAnsi="Liberation Serif"/>
          <w:sz w:val="28"/>
          <w:szCs w:val="28"/>
        </w:rPr>
        <w:t>года  № 353 «О внесении изменений в муниципальную подпрограмму «Развитие жилищно–коммунального хозяйства и повышение энергетической эффективности в Шалинском городском округе до 2026 года», утвержденную постановлением администрации Шалинского городского округа от 12 октября 2021 года № 539 «Об утверждении муниципальной программы «Социально-экономическое развитие Шалинского городского округа до 2026 года»</w:t>
      </w:r>
    </w:p>
    <w:p>
      <w:pPr>
        <w:pStyle w:val="Normal"/>
        <w:jc w:val="center"/>
        <w:rPr>
          <w:rFonts w:ascii="Liberation Serif" w:hAnsi="Liberation Serif"/>
          <w:b/>
          <w:b/>
        </w:rPr>
      </w:pPr>
      <w:r>
        <w:rPr>
          <w:rFonts w:ascii="Liberation Serif" w:hAnsi="Liberation Serif"/>
          <w:b/>
        </w:rPr>
      </w:r>
    </w:p>
    <w:tbl>
      <w:tblPr>
        <w:tblW w:w="15877" w:type="dxa"/>
        <w:jc w:val="left"/>
        <w:tblInd w:w="0" w:type="dxa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703"/>
        <w:gridCol w:w="5960"/>
        <w:gridCol w:w="1418"/>
        <w:gridCol w:w="1559"/>
        <w:gridCol w:w="1558"/>
        <w:gridCol w:w="1843"/>
        <w:gridCol w:w="2835"/>
      </w:tblGrid>
      <w:tr>
        <w:trPr>
          <w:tblHeader w:val="true"/>
          <w:trHeight w:val="654" w:hRule="atLeast"/>
          <w:cantSplit w:val="true"/>
        </w:trPr>
        <w:tc>
          <w:tcPr>
            <w:tcW w:w="70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№</w:t>
            </w:r>
            <w:r>
              <w:rPr>
                <w:rFonts w:cs="Times New Roman" w:ascii="Liberation Serif" w:hAnsi="Liberation Serif"/>
                <w:sz w:val="23"/>
                <w:szCs w:val="23"/>
              </w:rPr>
              <w:t>строки</w:t>
            </w:r>
          </w:p>
        </w:tc>
        <w:tc>
          <w:tcPr>
            <w:tcW w:w="59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Наименование целевого показателя (индикатора)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70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 xml:space="preserve">Единица </w:t>
              <w:br/>
              <w:t>измерения</w:t>
            </w:r>
          </w:p>
        </w:tc>
        <w:tc>
          <w:tcPr>
            <w:tcW w:w="3117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 xml:space="preserve">Источник  </w:t>
              <w:br/>
              <w:t xml:space="preserve"> значений  </w:t>
              <w:br/>
              <w:t>показателей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3"/>
                <w:szCs w:val="23"/>
              </w:rPr>
            </w:pPr>
            <w:r>
              <w:rPr>
                <w:rFonts w:ascii="Liberation Serif" w:hAnsi="Liberation Serif"/>
                <w:sz w:val="23"/>
                <w:szCs w:val="23"/>
              </w:rPr>
              <w:t>Процент выполнения</w:t>
            </w:r>
          </w:p>
        </w:tc>
        <w:tc>
          <w:tcPr>
            <w:tcW w:w="2835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3"/>
                <w:szCs w:val="23"/>
              </w:rPr>
            </w:pPr>
            <w:r>
              <w:rPr>
                <w:rFonts w:ascii="Liberation Serif" w:hAnsi="Liberation Serif"/>
                <w:sz w:val="23"/>
                <w:szCs w:val="23"/>
              </w:rPr>
              <w:t>Источник информации</w:t>
            </w:r>
          </w:p>
        </w:tc>
      </w:tr>
      <w:tr>
        <w:trPr>
          <w:tblHeader w:val="true"/>
          <w:trHeight w:val="360" w:hRule="atLeast"/>
          <w:cantSplit w:val="true"/>
        </w:trPr>
        <w:tc>
          <w:tcPr>
            <w:tcW w:w="70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</w:r>
          </w:p>
        </w:tc>
        <w:tc>
          <w:tcPr>
            <w:tcW w:w="596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</w:r>
          </w:p>
        </w:tc>
        <w:tc>
          <w:tcPr>
            <w:tcW w:w="141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План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Факт</w:t>
            </w:r>
          </w:p>
        </w:tc>
        <w:tc>
          <w:tcPr>
            <w:tcW w:w="1843" w:type="dxa"/>
            <w:vMerge w:val="continue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</w:r>
          </w:p>
        </w:tc>
      </w:tr>
      <w:tr>
        <w:trPr>
          <w:tblHeader w:val="true"/>
          <w:trHeight w:val="240" w:hRule="atLeast"/>
          <w:cantSplit w:val="true"/>
        </w:trPr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firstLine="33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1</w:t>
            </w:r>
          </w:p>
        </w:tc>
        <w:tc>
          <w:tcPr>
            <w:tcW w:w="5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4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7</w:t>
            </w:r>
          </w:p>
        </w:tc>
      </w:tr>
      <w:tr>
        <w:trPr>
          <w:trHeight w:val="360" w:hRule="atLeast"/>
          <w:cantSplit w:val="true"/>
        </w:trPr>
        <w:tc>
          <w:tcPr>
            <w:tcW w:w="1304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b/>
                <w:b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b/>
                <w:sz w:val="23"/>
                <w:szCs w:val="23"/>
              </w:rPr>
              <w:t>Раздел 3. Восстановление и развитие объектов внешнего благоустройства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b/>
                <w:b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b/>
                <w:sz w:val="23"/>
                <w:szCs w:val="23"/>
              </w:rPr>
            </w:r>
          </w:p>
        </w:tc>
      </w:tr>
      <w:tr>
        <w:trPr>
          <w:trHeight w:val="360" w:hRule="atLeast"/>
          <w:cantSplit w:val="true"/>
        </w:trPr>
        <w:tc>
          <w:tcPr>
            <w:tcW w:w="1304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b/>
                <w:b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b/>
                <w:sz w:val="23"/>
                <w:szCs w:val="23"/>
              </w:rPr>
              <w:t xml:space="preserve">Цель 3. Улучшение экологической ситуации и безопасности для проживания населения Шалинского </w:t>
            </w:r>
            <w:r>
              <w:rPr>
                <w:rFonts w:eastAsia="Times New Roman" w:cs="Times New Roman" w:ascii="Liberation Serif" w:hAnsi="Liberation Serif"/>
                <w:b/>
                <w:color w:val="auto"/>
                <w:kern w:val="0"/>
                <w:sz w:val="23"/>
                <w:szCs w:val="23"/>
                <w:lang w:val="ru-RU" w:eastAsia="ru-RU" w:bidi="ar-SA"/>
              </w:rPr>
              <w:t>муниципального</w:t>
            </w:r>
            <w:r>
              <w:rPr>
                <w:rFonts w:cs="Times New Roman" w:ascii="Liberation Serif" w:hAnsi="Liberation Serif"/>
                <w:b/>
                <w:sz w:val="23"/>
                <w:szCs w:val="23"/>
              </w:rPr>
              <w:t xml:space="preserve"> округа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b/>
                <w:b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b/>
                <w:sz w:val="23"/>
                <w:szCs w:val="23"/>
              </w:rPr>
            </w:r>
          </w:p>
        </w:tc>
      </w:tr>
      <w:tr>
        <w:trPr>
          <w:trHeight w:val="360" w:hRule="atLeast"/>
          <w:cantSplit w:val="true"/>
        </w:trPr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left="142" w:firstLine="146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10</w:t>
            </w:r>
          </w:p>
        </w:tc>
        <w:tc>
          <w:tcPr>
            <w:tcW w:w="5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Web"/>
              <w:spacing w:before="375" w:after="450"/>
              <w:ind w:left="30" w:right="30" w:hanging="0"/>
              <w:jc w:val="center"/>
              <w:textAlignment w:val="baseline"/>
              <w:rPr>
                <w:rFonts w:ascii="Liberation Serif" w:hAnsi="Liberation Serif" w:cs="Helvetica"/>
                <w:color w:val="000000"/>
                <w:sz w:val="23"/>
                <w:szCs w:val="23"/>
              </w:rPr>
            </w:pPr>
            <w:r>
              <w:rPr>
                <w:rFonts w:ascii="Liberation Serif" w:hAnsi="Liberation Serif"/>
                <w:sz w:val="23"/>
                <w:szCs w:val="23"/>
              </w:rPr>
              <w:t xml:space="preserve">Протяженность освещенных частей улиц, проездов населенных пунктов Шалинского </w:t>
            </w:r>
            <w:r>
              <w:rPr>
                <w:rFonts w:eastAsia="Times New Roman" w:cs="Times New Roman" w:ascii="Liberation Serif" w:hAnsi="Liberation Serif"/>
                <w:sz w:val="23"/>
                <w:szCs w:val="23"/>
                <w:lang w:eastAsia="ru-RU"/>
              </w:rPr>
              <w:t>муниципального</w:t>
            </w:r>
            <w:r>
              <w:rPr>
                <w:rFonts w:ascii="Liberation Serif" w:hAnsi="Liberation Serif"/>
                <w:sz w:val="23"/>
                <w:szCs w:val="23"/>
              </w:rPr>
              <w:t xml:space="preserve"> округа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км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312,209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168,592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46%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Данные сельских и поселковых администраций</w:t>
            </w:r>
          </w:p>
        </w:tc>
      </w:tr>
      <w:tr>
        <w:trPr>
          <w:trHeight w:val="360" w:hRule="atLeast"/>
          <w:cantSplit w:val="true"/>
        </w:trPr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left="142" w:hanging="0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11.</w:t>
            </w:r>
          </w:p>
        </w:tc>
        <w:tc>
          <w:tcPr>
            <w:tcW w:w="5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3"/>
                <w:szCs w:val="23"/>
              </w:rPr>
            </w:pPr>
            <w:r>
              <w:rPr>
                <w:rFonts w:ascii="Liberation Serif" w:hAnsi="Liberation Serif"/>
                <w:sz w:val="23"/>
                <w:szCs w:val="23"/>
              </w:rPr>
              <w:t>Удаление аварийных и естественно усохших деревьев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/>
                <w:b/>
              </w:rPr>
              <w:t>%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97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27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100%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 xml:space="preserve">Администрация Шалинского </w:t>
            </w:r>
            <w:r>
              <w:rPr>
                <w:rFonts w:eastAsia="Times New Roman" w:cs="Times New Roman" w:ascii="Liberation Serif" w:hAnsi="Liberation Serif"/>
                <w:sz w:val="23"/>
                <w:szCs w:val="23"/>
                <w:lang w:eastAsia="ru-RU"/>
              </w:rPr>
              <w:t>муниципального</w:t>
            </w:r>
            <w:r>
              <w:rPr>
                <w:rFonts w:cs="Times New Roman" w:ascii="Liberation Serif" w:hAnsi="Liberation Serif"/>
                <w:sz w:val="23"/>
                <w:szCs w:val="23"/>
              </w:rPr>
              <w:t xml:space="preserve"> округа</w:t>
            </w:r>
          </w:p>
        </w:tc>
      </w:tr>
      <w:tr>
        <w:trPr>
          <w:trHeight w:val="360" w:hRule="atLeast"/>
          <w:cantSplit w:val="true"/>
        </w:trPr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left="142" w:firstLine="146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12.</w:t>
            </w:r>
          </w:p>
        </w:tc>
        <w:tc>
          <w:tcPr>
            <w:tcW w:w="5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3"/>
                <w:szCs w:val="23"/>
              </w:rPr>
            </w:pPr>
            <w:r>
              <w:rPr>
                <w:rFonts w:ascii="Liberation Serif" w:hAnsi="Liberation Serif"/>
                <w:sz w:val="23"/>
                <w:szCs w:val="23"/>
              </w:rPr>
              <w:t xml:space="preserve">Доля кладбищ от общего количества кладбищ на территории Шалинского </w:t>
            </w:r>
            <w:r>
              <w:rPr>
                <w:rFonts w:eastAsia="Times New Roman" w:cs="Times New Roman" w:ascii="Liberation Serif" w:hAnsi="Liberation Serif"/>
                <w:sz w:val="23"/>
                <w:szCs w:val="23"/>
                <w:lang w:eastAsia="ru-RU"/>
              </w:rPr>
              <w:t>муниципального</w:t>
            </w:r>
            <w:r>
              <w:rPr>
                <w:rFonts w:ascii="Liberation Serif" w:hAnsi="Liberation Serif"/>
                <w:sz w:val="23"/>
                <w:szCs w:val="23"/>
              </w:rPr>
              <w:t xml:space="preserve"> округа, в отношении которых проводятся работы по содержанию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раз/ в неделю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eastAsia="Times New Roman" w:cs="Times New Roman"/>
                <w:color w:val="auto"/>
                <w:kern w:val="0"/>
                <w:sz w:val="23"/>
                <w:szCs w:val="23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3"/>
                <w:szCs w:val="23"/>
                <w:lang w:val="ru-RU" w:eastAsia="ru-RU" w:bidi="ar-SA"/>
              </w:rPr>
              <w:t>60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58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50%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Данные сельских и поселковых администраций</w:t>
            </w:r>
          </w:p>
        </w:tc>
      </w:tr>
      <w:tr>
        <w:trPr>
          <w:trHeight w:val="360" w:hRule="atLeast"/>
          <w:cantSplit w:val="true"/>
        </w:trPr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left="142" w:firstLine="146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12</w:t>
            </w:r>
          </w:p>
        </w:tc>
        <w:tc>
          <w:tcPr>
            <w:tcW w:w="5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3"/>
                <w:szCs w:val="23"/>
              </w:rPr>
            </w:pPr>
            <w:r>
              <w:rPr>
                <w:rFonts w:ascii="Liberation Serif" w:hAnsi="Liberation Serif"/>
              </w:rPr>
              <w:t>Количество проведенных мероприятий по обустройству и содержанию зон отдыха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ед.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10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80%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Данные сельских и поселковых администраций</w:t>
            </w:r>
          </w:p>
        </w:tc>
      </w:tr>
      <w:tr>
        <w:trPr>
          <w:trHeight w:val="360" w:hRule="atLeast"/>
          <w:cantSplit w:val="true"/>
        </w:trPr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left="142" w:firstLine="146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13</w:t>
            </w:r>
          </w:p>
        </w:tc>
        <w:tc>
          <w:tcPr>
            <w:tcW w:w="5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3"/>
                <w:szCs w:val="23"/>
              </w:rPr>
            </w:pPr>
            <w:r>
              <w:rPr>
                <w:rFonts w:ascii="Liberation Serif" w:hAnsi="Liberation Serif"/>
                <w:sz w:val="23"/>
                <w:szCs w:val="23"/>
              </w:rPr>
              <w:t>Количество разработанной проектро-сметной документации по благоустройству зон отдыха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ед.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0%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Данные сельских и поселковых администраций</w:t>
            </w:r>
          </w:p>
        </w:tc>
      </w:tr>
      <w:tr>
        <w:trPr>
          <w:trHeight w:val="360" w:hRule="atLeast"/>
          <w:cantSplit w:val="true"/>
        </w:trPr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left="142" w:firstLine="146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14</w:t>
            </w:r>
          </w:p>
        </w:tc>
        <w:tc>
          <w:tcPr>
            <w:tcW w:w="5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3"/>
                <w:szCs w:val="23"/>
              </w:rPr>
            </w:pPr>
            <w:r>
              <w:rPr>
                <w:rFonts w:ascii="Liberation Serif" w:hAnsi="Liberation Serif"/>
                <w:sz w:val="23"/>
                <w:szCs w:val="23"/>
              </w:rPr>
              <w:t>Доля благоустроенных территории, находящихся на содержании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rPr>
                <w:rFonts w:ascii="Liberation Serif" w:hAnsi="Liberation Serif" w:cs="Times New Roman"/>
                <w:sz w:val="23"/>
                <w:szCs w:val="23"/>
                <w:vertAlign w:val="superscript"/>
              </w:rPr>
            </w:pPr>
            <w:r>
              <w:rPr>
                <w:rFonts w:ascii="Liberation Serif" w:hAnsi="Liberation Serif"/>
                <w:b/>
              </w:rPr>
              <w:t>%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60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14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24%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 xml:space="preserve">Администрация Шалинского </w:t>
            </w:r>
            <w:r>
              <w:rPr>
                <w:rFonts w:eastAsia="Times New Roman" w:cs="Times New Roman" w:ascii="Liberation Serif" w:hAnsi="Liberation Serif"/>
                <w:sz w:val="23"/>
                <w:szCs w:val="23"/>
                <w:lang w:eastAsia="ru-RU"/>
              </w:rPr>
              <w:t>муниципального</w:t>
            </w:r>
            <w:r>
              <w:rPr>
                <w:rFonts w:cs="Times New Roman" w:ascii="Liberation Serif" w:hAnsi="Liberation Serif"/>
                <w:sz w:val="23"/>
                <w:szCs w:val="23"/>
              </w:rPr>
              <w:t xml:space="preserve"> округа</w:t>
            </w:r>
          </w:p>
        </w:tc>
      </w:tr>
      <w:tr>
        <w:trPr>
          <w:trHeight w:val="360" w:hRule="atLeast"/>
          <w:cantSplit w:val="true"/>
        </w:trPr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left="142" w:firstLine="146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15</w:t>
            </w:r>
          </w:p>
        </w:tc>
        <w:tc>
          <w:tcPr>
            <w:tcW w:w="5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3"/>
                <w:szCs w:val="23"/>
              </w:rPr>
            </w:pPr>
            <w:r>
              <w:rPr>
                <w:rFonts w:ascii="Liberation Serif" w:hAnsi="Liberation Serif"/>
                <w:sz w:val="23"/>
                <w:szCs w:val="23"/>
              </w:rPr>
              <w:t>Объем отходов, направленных на переработку, захоронение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м3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eastAsia="Times New Roman" w:cs="Times New Roman"/>
                <w:color w:val="auto"/>
                <w:kern w:val="0"/>
                <w:sz w:val="23"/>
                <w:szCs w:val="23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3"/>
                <w:szCs w:val="23"/>
                <w:lang w:val="ru-RU" w:eastAsia="ru-RU" w:bidi="ar-SA"/>
              </w:rPr>
              <w:t>203,36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eastAsia="Times New Roman" w:cs="Times New Roman"/>
                <w:color w:val="auto"/>
                <w:kern w:val="0"/>
                <w:sz w:val="23"/>
                <w:szCs w:val="23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3"/>
                <w:szCs w:val="23"/>
                <w:lang w:val="ru-RU" w:eastAsia="ru-RU" w:bidi="ar-SA"/>
              </w:rPr>
              <w:t>12,20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6%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 xml:space="preserve">Администрация Шалинского </w:t>
            </w:r>
            <w:r>
              <w:rPr>
                <w:rFonts w:eastAsia="Times New Roman" w:cs="Times New Roman" w:ascii="Liberation Serif" w:hAnsi="Liberation Serif"/>
                <w:sz w:val="23"/>
                <w:szCs w:val="23"/>
                <w:lang w:eastAsia="ru-RU"/>
              </w:rPr>
              <w:t>муниципального</w:t>
            </w:r>
            <w:r>
              <w:rPr>
                <w:rFonts w:cs="Times New Roman" w:ascii="Liberation Serif" w:hAnsi="Liberation Serif"/>
                <w:sz w:val="23"/>
                <w:szCs w:val="23"/>
              </w:rPr>
              <w:t xml:space="preserve"> округа</w:t>
            </w:r>
          </w:p>
        </w:tc>
      </w:tr>
      <w:tr>
        <w:trPr>
          <w:trHeight w:val="360" w:hRule="atLeast"/>
          <w:cantSplit w:val="true"/>
        </w:trPr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left="142" w:firstLine="146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16</w:t>
            </w:r>
          </w:p>
        </w:tc>
        <w:tc>
          <w:tcPr>
            <w:tcW w:w="5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3"/>
                <w:szCs w:val="23"/>
              </w:rPr>
            </w:pPr>
            <w:r>
              <w:rPr>
                <w:rFonts w:ascii="Liberation Serif" w:hAnsi="Liberation Serif"/>
                <w:sz w:val="23"/>
                <w:szCs w:val="23"/>
              </w:rPr>
              <w:t>Количество обустроенных контейнерных площадок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ед.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eastAsia="Times New Roman" w:cs="Times New Roman"/>
                <w:color w:val="auto"/>
                <w:kern w:val="0"/>
                <w:sz w:val="23"/>
                <w:szCs w:val="23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3"/>
                <w:szCs w:val="23"/>
                <w:lang w:val="ru-RU" w:eastAsia="ru-RU" w:bidi="ar-SA"/>
              </w:rPr>
              <w:t>5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50%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 xml:space="preserve">Администрация Шалинского </w:t>
            </w:r>
            <w:r>
              <w:rPr>
                <w:rFonts w:eastAsia="Times New Roman" w:cs="Times New Roman" w:ascii="Liberation Serif" w:hAnsi="Liberation Serif"/>
                <w:sz w:val="23"/>
                <w:szCs w:val="23"/>
                <w:lang w:eastAsia="ru-RU"/>
              </w:rPr>
              <w:t>муниципального</w:t>
            </w:r>
            <w:r>
              <w:rPr>
                <w:rFonts w:cs="Times New Roman" w:ascii="Liberation Serif" w:hAnsi="Liberation Serif"/>
                <w:sz w:val="23"/>
                <w:szCs w:val="23"/>
              </w:rPr>
              <w:t xml:space="preserve"> округа</w:t>
            </w:r>
          </w:p>
        </w:tc>
      </w:tr>
      <w:tr>
        <w:trPr>
          <w:trHeight w:val="360" w:hRule="atLeast"/>
          <w:cantSplit w:val="true"/>
        </w:trPr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left="142" w:firstLine="146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17</w:t>
            </w:r>
          </w:p>
        </w:tc>
        <w:tc>
          <w:tcPr>
            <w:tcW w:w="5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3"/>
                <w:szCs w:val="23"/>
              </w:rPr>
            </w:pPr>
            <w:r>
              <w:rPr>
                <w:rFonts w:ascii="Liberation Serif" w:hAnsi="Liberation Serif"/>
                <w:sz w:val="23"/>
                <w:szCs w:val="23"/>
              </w:rPr>
              <w:t>Доля контейнерных площадок, отвечающих требованиям санитарного законодательства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/>
                <w:b/>
              </w:rPr>
              <w:t>%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98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94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100%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Данные сельских и поселковых администраций</w:t>
            </w:r>
          </w:p>
        </w:tc>
      </w:tr>
      <w:tr>
        <w:trPr>
          <w:trHeight w:val="360" w:hRule="atLeast"/>
          <w:cantSplit w:val="true"/>
        </w:trPr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left="142" w:firstLine="146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18</w:t>
            </w:r>
          </w:p>
        </w:tc>
        <w:tc>
          <w:tcPr>
            <w:tcW w:w="5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3"/>
                <w:szCs w:val="23"/>
              </w:rPr>
            </w:pPr>
            <w:r>
              <w:rPr>
                <w:rFonts w:ascii="Liberation Serif" w:hAnsi="Liberation Serif"/>
                <w:sz w:val="23"/>
                <w:szCs w:val="23"/>
              </w:rPr>
              <w:t>Количество приобретенных  контейнеров для накопления твердых коммунальных отходов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rPr>
                <w:rFonts w:ascii="Liberation Serif" w:hAnsi="Liberation Serif"/>
                <w:b/>
                <w:b/>
              </w:rPr>
            </w:pPr>
            <w:r>
              <w:rPr>
                <w:rFonts w:ascii="Liberation Serif" w:hAnsi="Liberation Serif"/>
                <w:b/>
              </w:rPr>
              <w:t>шт.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10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0%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 xml:space="preserve">Администрация Шалинского </w:t>
            </w:r>
            <w:r>
              <w:rPr>
                <w:rFonts w:eastAsia="Times New Roman" w:cs="Times New Roman" w:ascii="Liberation Serif" w:hAnsi="Liberation Serif"/>
                <w:sz w:val="23"/>
                <w:szCs w:val="23"/>
                <w:lang w:eastAsia="ru-RU"/>
              </w:rPr>
              <w:t>муниципального</w:t>
            </w:r>
            <w:r>
              <w:rPr>
                <w:rFonts w:cs="Times New Roman" w:ascii="Liberation Serif" w:hAnsi="Liberation Serif"/>
                <w:sz w:val="23"/>
                <w:szCs w:val="23"/>
              </w:rPr>
              <w:t xml:space="preserve"> округа</w:t>
            </w:r>
          </w:p>
        </w:tc>
      </w:tr>
      <w:tr>
        <w:trPr>
          <w:trHeight w:val="360" w:hRule="atLeast"/>
          <w:cantSplit w:val="true"/>
        </w:trPr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left="142" w:firstLine="146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19</w:t>
            </w:r>
          </w:p>
        </w:tc>
        <w:tc>
          <w:tcPr>
            <w:tcW w:w="5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3"/>
                <w:szCs w:val="23"/>
              </w:rPr>
            </w:pPr>
            <w:r>
              <w:rPr>
                <w:rFonts w:ascii="Liberation Serif" w:hAnsi="Liberation Serif"/>
                <w:sz w:val="23"/>
                <w:szCs w:val="23"/>
              </w:rPr>
              <w:t>Ликвидация борщевика Сосновского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rPr>
                <w:rFonts w:ascii="Liberation Serif" w:hAnsi="Liberation Serif"/>
                <w:b/>
                <w:b/>
              </w:rPr>
            </w:pPr>
            <w:r>
              <w:rPr>
                <w:rFonts w:ascii="Liberation Serif" w:hAnsi="Liberation Serif"/>
                <w:b/>
              </w:rPr>
              <w:t>га.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3,5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0%</w:t>
            </w:r>
          </w:p>
          <w:p>
            <w:pPr>
              <w:pStyle w:val="ConsPlusNormal"/>
              <w:ind w:hanging="0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 xml:space="preserve">Администрация Шалинского </w:t>
            </w:r>
            <w:r>
              <w:rPr>
                <w:rFonts w:eastAsia="Times New Roman" w:cs="Times New Roman" w:ascii="Liberation Serif" w:hAnsi="Liberation Serif"/>
                <w:sz w:val="23"/>
                <w:szCs w:val="23"/>
                <w:lang w:eastAsia="ru-RU"/>
              </w:rPr>
              <w:t>муниципального</w:t>
            </w:r>
            <w:r>
              <w:rPr>
                <w:rFonts w:cs="Times New Roman" w:ascii="Liberation Serif" w:hAnsi="Liberation Serif"/>
                <w:sz w:val="23"/>
                <w:szCs w:val="23"/>
              </w:rPr>
              <w:t xml:space="preserve"> округа</w:t>
            </w:r>
          </w:p>
        </w:tc>
      </w:tr>
    </w:tbl>
    <w:p>
      <w:pPr>
        <w:pStyle w:val="Normal"/>
        <w:jc w:val="center"/>
        <w:rPr>
          <w:rFonts w:ascii="Liberation Serif" w:hAnsi="Liberation Serif"/>
          <w:b/>
          <w:b/>
        </w:rPr>
      </w:pPr>
      <w:r>
        <w:rPr>
          <w:rFonts w:ascii="Liberation Serif" w:hAnsi="Liberation Serif"/>
          <w:b/>
        </w:rPr>
      </w:r>
    </w:p>
    <w:p>
      <w:pPr>
        <w:pStyle w:val="Normal"/>
        <w:jc w:val="center"/>
        <w:rPr>
          <w:rFonts w:ascii="Liberation Serif" w:hAnsi="Liberation Serif"/>
          <w:b/>
          <w:b/>
        </w:rPr>
      </w:pPr>
      <w:r>
        <w:rPr>
          <w:rFonts w:ascii="Liberation Serif" w:hAnsi="Liberation Serif"/>
          <w:b/>
        </w:rPr>
      </w:r>
    </w:p>
    <w:p>
      <w:pPr>
        <w:pStyle w:val="Normal"/>
        <w:jc w:val="center"/>
        <w:rPr>
          <w:rFonts w:ascii="Liberation Serif" w:hAnsi="Liberation Serif"/>
          <w:b/>
          <w:b/>
          <w:sz w:val="23"/>
          <w:szCs w:val="23"/>
        </w:rPr>
      </w:pPr>
      <w:r>
        <w:rPr>
          <w:rFonts w:ascii="Liberation Serif" w:hAnsi="Liberation Serif"/>
          <w:b/>
          <w:sz w:val="23"/>
          <w:szCs w:val="23"/>
        </w:rPr>
        <w:t>ВЫПОЛНЕНИЕ МЕРОПРИЯТИЙ муниципальной ПРОГРАММЫ</w:t>
      </w:r>
    </w:p>
    <w:p>
      <w:pPr>
        <w:pStyle w:val="Normal"/>
        <w:jc w:val="center"/>
        <w:rPr>
          <w:rFonts w:ascii="Liberation Serif" w:hAnsi="Liberation Serif"/>
          <w:b/>
          <w:b/>
          <w:sz w:val="23"/>
          <w:szCs w:val="23"/>
        </w:rPr>
      </w:pPr>
      <w:r>
        <w:rPr>
          <w:rFonts w:ascii="Liberation Serif" w:hAnsi="Liberation Serif"/>
          <w:b/>
          <w:sz w:val="23"/>
          <w:szCs w:val="23"/>
        </w:rPr>
        <w:t>За 1 полугодие 2024 год</w:t>
      </w:r>
    </w:p>
    <w:tbl>
      <w:tblPr>
        <w:tblW w:w="14880" w:type="dxa"/>
        <w:jc w:val="left"/>
        <w:tblInd w:w="75" w:type="dxa"/>
        <w:tblCellMar>
          <w:top w:w="0" w:type="dxa"/>
          <w:left w:w="75" w:type="dxa"/>
          <w:bottom w:w="0" w:type="dxa"/>
          <w:right w:w="75" w:type="dxa"/>
        </w:tblCellMar>
        <w:tblLook w:firstRow="0" w:noVBand="0" w:lastRow="0" w:firstColumn="0" w:lastColumn="0" w:noHBand="0" w:val="0000"/>
      </w:tblPr>
      <w:tblGrid>
        <w:gridCol w:w="1132"/>
        <w:gridCol w:w="5498"/>
        <w:gridCol w:w="1869"/>
        <w:gridCol w:w="1702"/>
        <w:gridCol w:w="1842"/>
        <w:gridCol w:w="2836"/>
      </w:tblGrid>
      <w:tr>
        <w:trPr>
          <w:trHeight w:val="1215" w:hRule="atLeast"/>
        </w:trPr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 xml:space="preserve">№   </w:t>
            </w:r>
            <w:r>
              <w:rPr>
                <w:rFonts w:cs="Times New Roman" w:ascii="Liberation Serif" w:hAnsi="Liberation Serif"/>
                <w:sz w:val="23"/>
                <w:szCs w:val="23"/>
              </w:rPr>
              <w:br/>
              <w:t>строки</w:t>
            </w:r>
          </w:p>
        </w:tc>
        <w:tc>
          <w:tcPr>
            <w:tcW w:w="5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 xml:space="preserve">Наименование мероприятия/    </w:t>
              <w:br/>
              <w:t xml:space="preserve">       Источники расходов       </w:t>
              <w:br/>
              <w:t xml:space="preserve">       на финансирование</w:t>
            </w:r>
          </w:p>
        </w:tc>
        <w:tc>
          <w:tcPr>
            <w:tcW w:w="54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 xml:space="preserve">Объем расходов   </w:t>
              <w:br/>
              <w:t xml:space="preserve">   на выполнение    </w:t>
              <w:br/>
              <w:t xml:space="preserve">    мероприятия,    </w:t>
              <w:br/>
              <w:t xml:space="preserve">    тыс. рублей</w:t>
            </w:r>
          </w:p>
        </w:tc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 xml:space="preserve">Причины   </w:t>
              <w:br/>
              <w:t xml:space="preserve"> отклонения </w:t>
              <w:br/>
              <w:t>от планового</w:t>
              <w:br/>
              <w:t xml:space="preserve">  значения</w:t>
            </w:r>
          </w:p>
        </w:tc>
      </w:tr>
      <w:tr>
        <w:trPr>
          <w:trHeight w:val="486" w:hRule="atLeast"/>
        </w:trPr>
        <w:tc>
          <w:tcPr>
            <w:tcW w:w="11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</w:r>
          </w:p>
        </w:tc>
        <w:tc>
          <w:tcPr>
            <w:tcW w:w="5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план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факт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 xml:space="preserve">процент  </w:t>
              <w:br/>
              <w:t>выполнения</w:t>
            </w:r>
          </w:p>
        </w:tc>
        <w:tc>
          <w:tcPr>
            <w:tcW w:w="28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</w:r>
          </w:p>
        </w:tc>
      </w:tr>
      <w:tr>
        <w:trPr>
          <w:trHeight w:val="175" w:hRule="atLeast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1</w:t>
            </w:r>
          </w:p>
        </w:tc>
        <w:tc>
          <w:tcPr>
            <w:tcW w:w="5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5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6</w:t>
            </w:r>
          </w:p>
        </w:tc>
      </w:tr>
      <w:tr>
        <w:trPr>
          <w:trHeight w:val="175" w:hRule="atLeast"/>
        </w:trPr>
        <w:tc>
          <w:tcPr>
            <w:tcW w:w="148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Раздел 3. Восстановление и развитие объектов внешнего благоустройства</w:t>
            </w:r>
          </w:p>
        </w:tc>
      </w:tr>
      <w:tr>
        <w:trPr>
          <w:trHeight w:val="486" w:hRule="atLeast"/>
        </w:trPr>
        <w:tc>
          <w:tcPr>
            <w:tcW w:w="6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Всего по разделу 3, в том числе: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18 848 901,72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6 990 057,88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color w:val="000000"/>
              </w:rPr>
            </w:pPr>
            <w:r>
              <w:rPr>
                <w:rFonts w:cs="Times New Roman" w:ascii="Liberation Serif" w:hAnsi="Liberation Serif"/>
                <w:color w:val="000000"/>
                <w:sz w:val="23"/>
                <w:szCs w:val="23"/>
              </w:rPr>
              <w:t>45%</w:t>
            </w:r>
          </w:p>
        </w:tc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 w:eastAsia="Times New Roman" w:cs="Times New Roman"/>
                <w:color w:val="auto"/>
                <w:kern w:val="0"/>
                <w:sz w:val="23"/>
                <w:szCs w:val="23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3"/>
                <w:szCs w:val="23"/>
                <w:lang w:val="ru-RU" w:eastAsia="ru-RU" w:bidi="ar-SA"/>
              </w:rPr>
              <w:t xml:space="preserve">Мероприятия запланированы на </w:t>
            </w: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3"/>
                <w:szCs w:val="23"/>
                <w:lang w:val="en-US" w:eastAsia="ru-RU" w:bidi="ar-SA"/>
              </w:rPr>
              <w:t>II</w:t>
            </w: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3"/>
                <w:szCs w:val="23"/>
                <w:lang w:val="ru-RU" w:eastAsia="ru-RU" w:bidi="ar-SA"/>
              </w:rPr>
              <w:t xml:space="preserve"> – </w:t>
            </w: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3"/>
                <w:szCs w:val="23"/>
                <w:lang w:val="en-US" w:eastAsia="ru-RU" w:bidi="ar-SA"/>
              </w:rPr>
              <w:t>IV</w:t>
            </w: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3"/>
                <w:szCs w:val="23"/>
                <w:lang w:val="ru-RU" w:eastAsia="ru-RU" w:bidi="ar-SA"/>
              </w:rPr>
              <w:t xml:space="preserve"> кварталы</w:t>
            </w:r>
          </w:p>
        </w:tc>
      </w:tr>
      <w:tr>
        <w:trPr>
          <w:trHeight w:val="175" w:hRule="atLeast"/>
        </w:trPr>
        <w:tc>
          <w:tcPr>
            <w:tcW w:w="6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местный бюджет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6 990 057,88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color w:val="000000"/>
              </w:rPr>
            </w:pPr>
            <w:r>
              <w:rPr>
                <w:rFonts w:cs="Times New Roman" w:ascii="Liberation Serif" w:hAnsi="Liberation Serif"/>
                <w:color w:val="000000"/>
                <w:sz w:val="23"/>
                <w:szCs w:val="23"/>
              </w:rPr>
              <w:t>45%</w:t>
            </w:r>
          </w:p>
        </w:tc>
        <w:tc>
          <w:tcPr>
            <w:tcW w:w="28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</w:r>
          </w:p>
        </w:tc>
      </w:tr>
      <w:tr>
        <w:trPr>
          <w:trHeight w:val="271" w:hRule="atLeast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17</w:t>
            </w:r>
          </w:p>
        </w:tc>
        <w:tc>
          <w:tcPr>
            <w:tcW w:w="5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Уличное освещение, в том числе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  <w:sz w:val="23"/>
                <w:szCs w:val="23"/>
              </w:rPr>
            </w:pPr>
            <w:r>
              <w:rPr>
                <w:rFonts w:ascii="Liberation Serif" w:hAnsi="Liberation Serif"/>
                <w:sz w:val="23"/>
                <w:szCs w:val="23"/>
              </w:rPr>
              <w:t>10 160 000,00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3"/>
                <w:szCs w:val="23"/>
                <w:lang w:eastAsia="ru-RU"/>
              </w:rPr>
              <w:t>4 595 343,62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color w:val="000000"/>
              </w:rPr>
            </w:pPr>
            <w:r>
              <w:rPr>
                <w:rFonts w:cs="Times New Roman" w:ascii="Liberation Serif" w:hAnsi="Liberation Serif"/>
                <w:color w:val="000000"/>
                <w:sz w:val="23"/>
                <w:szCs w:val="23"/>
              </w:rPr>
              <w:t>45%</w:t>
            </w:r>
          </w:p>
        </w:tc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 w:eastAsia="Times New Roman" w:cs="Times New Roman"/>
                <w:color w:val="auto"/>
                <w:kern w:val="0"/>
                <w:sz w:val="23"/>
                <w:szCs w:val="23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3"/>
                <w:szCs w:val="23"/>
                <w:lang w:val="ru-RU" w:eastAsia="ru-RU" w:bidi="ar-SA"/>
              </w:rPr>
              <w:t xml:space="preserve">Мероприятия запланированы на </w:t>
            </w: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3"/>
                <w:szCs w:val="23"/>
                <w:lang w:val="en-US" w:eastAsia="ru-RU" w:bidi="ar-SA"/>
              </w:rPr>
              <w:t>II</w:t>
            </w: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3"/>
                <w:szCs w:val="23"/>
                <w:lang w:val="ru-RU" w:eastAsia="ru-RU" w:bidi="ar-SA"/>
              </w:rPr>
              <w:t xml:space="preserve"> – </w:t>
            </w: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3"/>
                <w:szCs w:val="23"/>
                <w:lang w:val="en-US" w:eastAsia="ru-RU" w:bidi="ar-SA"/>
              </w:rPr>
              <w:t>IV</w:t>
            </w: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3"/>
                <w:szCs w:val="23"/>
                <w:lang w:val="ru-RU" w:eastAsia="ru-RU" w:bidi="ar-SA"/>
              </w:rPr>
              <w:t xml:space="preserve"> кварталы</w:t>
            </w:r>
          </w:p>
        </w:tc>
      </w:tr>
      <w:tr>
        <w:trPr>
          <w:trHeight w:val="259" w:hRule="atLeast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18</w:t>
            </w:r>
          </w:p>
        </w:tc>
        <w:tc>
          <w:tcPr>
            <w:tcW w:w="5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Местный бюджет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  <w:sz w:val="23"/>
                <w:szCs w:val="23"/>
              </w:rPr>
            </w:pPr>
            <w:r>
              <w:rPr>
                <w:rFonts w:ascii="Liberation Serif" w:hAnsi="Liberation Serif"/>
                <w:sz w:val="23"/>
                <w:szCs w:val="23"/>
              </w:rPr>
              <w:t>10 160 000,00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3"/>
                <w:szCs w:val="23"/>
                <w:lang w:eastAsia="ru-RU"/>
              </w:rPr>
              <w:t>4 595 343,62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color w:val="000000"/>
              </w:rPr>
            </w:pPr>
            <w:r>
              <w:rPr>
                <w:rFonts w:cs="Times New Roman" w:ascii="Liberation Serif" w:hAnsi="Liberation Serif"/>
                <w:color w:val="000000"/>
                <w:sz w:val="23"/>
                <w:szCs w:val="23"/>
              </w:rPr>
              <w:t>45%</w:t>
            </w:r>
          </w:p>
        </w:tc>
        <w:tc>
          <w:tcPr>
            <w:tcW w:w="28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</w:r>
          </w:p>
        </w:tc>
      </w:tr>
      <w:tr>
        <w:trPr>
          <w:trHeight w:val="336" w:hRule="atLeast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19</w:t>
            </w:r>
          </w:p>
        </w:tc>
        <w:tc>
          <w:tcPr>
            <w:tcW w:w="5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3"/>
                <w:szCs w:val="23"/>
              </w:rPr>
            </w:pPr>
            <w:r>
              <w:rPr>
                <w:rFonts w:ascii="Liberation Serif" w:hAnsi="Liberation Serif"/>
                <w:sz w:val="23"/>
                <w:szCs w:val="23"/>
              </w:rPr>
              <w:t>Озеленение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  <w:sz w:val="23"/>
                <w:szCs w:val="23"/>
              </w:rPr>
            </w:pPr>
            <w:r>
              <w:rPr>
                <w:rFonts w:ascii="Liberation Serif" w:hAnsi="Liberation Serif"/>
                <w:sz w:val="23"/>
                <w:szCs w:val="23"/>
              </w:rPr>
              <w:t xml:space="preserve">250 000,00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71 294,85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color w:val="000000"/>
              </w:rPr>
            </w:pPr>
            <w:r>
              <w:rPr>
                <w:rFonts w:cs="Times New Roman" w:ascii="Liberation Serif" w:hAnsi="Liberation Serif"/>
                <w:color w:val="000000"/>
                <w:sz w:val="23"/>
                <w:szCs w:val="23"/>
              </w:rPr>
              <w:t>28%</w:t>
            </w:r>
          </w:p>
        </w:tc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 xml:space="preserve">Мероприятия </w:t>
            </w:r>
            <w:r>
              <w:rPr>
                <w:rFonts w:ascii="Liberation Serif" w:hAnsi="Liberation Serif"/>
              </w:rPr>
              <w:t xml:space="preserve">запланированы на </w:t>
            </w:r>
            <w:r>
              <w:rPr>
                <w:rFonts w:ascii="Liberation Serif" w:hAnsi="Liberation Serif"/>
                <w:lang w:val="en-US"/>
              </w:rPr>
              <w:t>II</w:t>
            </w:r>
            <w:r>
              <w:rPr>
                <w:rFonts w:ascii="Liberation Serif" w:hAnsi="Liberation Serif"/>
              </w:rPr>
              <w:t xml:space="preserve"> – </w:t>
            </w:r>
            <w:r>
              <w:rPr>
                <w:rFonts w:ascii="Liberation Serif" w:hAnsi="Liberation Serif"/>
                <w:lang w:val="en-US"/>
              </w:rPr>
              <w:t>IV</w:t>
            </w:r>
            <w:r>
              <w:rPr>
                <w:rFonts w:ascii="Liberation Serif" w:hAnsi="Liberation Serif"/>
              </w:rPr>
              <w:t xml:space="preserve"> кварталы</w:t>
            </w:r>
          </w:p>
        </w:tc>
      </w:tr>
      <w:tr>
        <w:trPr>
          <w:trHeight w:val="336" w:hRule="atLeast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20</w:t>
            </w:r>
          </w:p>
        </w:tc>
        <w:tc>
          <w:tcPr>
            <w:tcW w:w="5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3"/>
                <w:szCs w:val="23"/>
              </w:rPr>
            </w:pPr>
            <w:r>
              <w:rPr>
                <w:rFonts w:ascii="Liberation Serif" w:hAnsi="Liberation Serif"/>
                <w:sz w:val="23"/>
                <w:szCs w:val="23"/>
              </w:rPr>
              <w:t>Местный бюджет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  <w:sz w:val="23"/>
                <w:szCs w:val="23"/>
              </w:rPr>
            </w:pPr>
            <w:r>
              <w:rPr>
                <w:rFonts w:ascii="Liberation Serif" w:hAnsi="Liberation Serif"/>
                <w:sz w:val="23"/>
                <w:szCs w:val="23"/>
              </w:rPr>
              <w:t>250 000,00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71 294,85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color w:val="000000"/>
              </w:rPr>
            </w:pPr>
            <w:r>
              <w:rPr>
                <w:rFonts w:cs="Times New Roman" w:ascii="Liberation Serif" w:hAnsi="Liberation Serif"/>
                <w:color w:val="000000"/>
                <w:sz w:val="23"/>
                <w:szCs w:val="23"/>
              </w:rPr>
              <w:t>28%</w:t>
            </w:r>
          </w:p>
        </w:tc>
        <w:tc>
          <w:tcPr>
            <w:tcW w:w="28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</w:r>
          </w:p>
        </w:tc>
      </w:tr>
      <w:tr>
        <w:trPr>
          <w:trHeight w:val="336" w:hRule="atLeast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21</w:t>
            </w:r>
          </w:p>
        </w:tc>
        <w:tc>
          <w:tcPr>
            <w:tcW w:w="5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/>
                <w:sz w:val="23"/>
                <w:szCs w:val="23"/>
              </w:rPr>
              <w:t>Содержание мест захоронения, в том числе</w:t>
            </w:r>
            <w:r>
              <w:rPr>
                <w:rFonts w:cs="Times New Roman" w:ascii="Liberation Serif" w:hAnsi="Liberation Serif"/>
                <w:sz w:val="23"/>
                <w:szCs w:val="23"/>
              </w:rPr>
              <w:t>: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  <w:sz w:val="23"/>
                <w:szCs w:val="23"/>
              </w:rPr>
            </w:pPr>
            <w:r>
              <w:rPr>
                <w:rFonts w:ascii="Liberation Serif" w:hAnsi="Liberation Serif"/>
                <w:sz w:val="23"/>
                <w:szCs w:val="23"/>
              </w:rPr>
              <w:t>1 689 680,50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414 872,89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24%</w:t>
            </w:r>
          </w:p>
        </w:tc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 xml:space="preserve">Мероприятия </w:t>
            </w:r>
            <w:r>
              <w:rPr>
                <w:rFonts w:ascii="Liberation Serif" w:hAnsi="Liberation Serif"/>
              </w:rPr>
              <w:t xml:space="preserve">запланированы на </w:t>
            </w:r>
            <w:r>
              <w:rPr>
                <w:rFonts w:ascii="Liberation Serif" w:hAnsi="Liberation Serif"/>
                <w:lang w:val="en-US"/>
              </w:rPr>
              <w:t>II</w:t>
            </w:r>
            <w:r>
              <w:rPr>
                <w:rFonts w:ascii="Liberation Serif" w:hAnsi="Liberation Serif"/>
              </w:rPr>
              <w:t xml:space="preserve"> – </w:t>
            </w:r>
            <w:r>
              <w:rPr>
                <w:rFonts w:ascii="Liberation Serif" w:hAnsi="Liberation Serif"/>
                <w:lang w:val="en-US"/>
              </w:rPr>
              <w:t>IV</w:t>
            </w:r>
            <w:r>
              <w:rPr>
                <w:rFonts w:ascii="Liberation Serif" w:hAnsi="Liberation Serif"/>
              </w:rPr>
              <w:t xml:space="preserve"> кварталы</w:t>
            </w:r>
          </w:p>
        </w:tc>
      </w:tr>
      <w:tr>
        <w:trPr>
          <w:trHeight w:val="275" w:hRule="atLeast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22</w:t>
            </w:r>
          </w:p>
        </w:tc>
        <w:tc>
          <w:tcPr>
            <w:tcW w:w="5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Местный бюджет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  <w:sz w:val="23"/>
                <w:szCs w:val="23"/>
              </w:rPr>
            </w:pPr>
            <w:r>
              <w:rPr>
                <w:rFonts w:ascii="Liberation Serif" w:hAnsi="Liberation Serif"/>
                <w:sz w:val="23"/>
                <w:szCs w:val="23"/>
              </w:rPr>
              <w:t>1 689 680,50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414 872,89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24%</w:t>
            </w:r>
          </w:p>
        </w:tc>
        <w:tc>
          <w:tcPr>
            <w:tcW w:w="28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</w:r>
          </w:p>
        </w:tc>
      </w:tr>
      <w:tr>
        <w:trPr>
          <w:trHeight w:val="275" w:hRule="atLeast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23</w:t>
            </w:r>
          </w:p>
        </w:tc>
        <w:tc>
          <w:tcPr>
            <w:tcW w:w="5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/>
                <w:sz w:val="23"/>
                <w:szCs w:val="23"/>
              </w:rPr>
              <w:t>Обустройство и содержание парков и зон отдыха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  <w:sz w:val="23"/>
                <w:szCs w:val="23"/>
              </w:rPr>
            </w:pPr>
            <w:r>
              <w:rPr>
                <w:rFonts w:ascii="Liberation Serif" w:hAnsi="Liberation Serif"/>
                <w:sz w:val="23"/>
                <w:szCs w:val="23"/>
              </w:rPr>
              <w:t>675 000,00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132 480,80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20%</w:t>
            </w:r>
          </w:p>
        </w:tc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 xml:space="preserve">Мероприятия </w:t>
            </w:r>
            <w:r>
              <w:rPr>
                <w:rFonts w:ascii="Liberation Serif" w:hAnsi="Liberation Serif"/>
              </w:rPr>
              <w:t xml:space="preserve">запланированы на </w:t>
            </w:r>
            <w:r>
              <w:rPr>
                <w:rFonts w:ascii="Liberation Serif" w:hAnsi="Liberation Serif"/>
                <w:lang w:val="en-US"/>
              </w:rPr>
              <w:t>II</w:t>
            </w:r>
            <w:r>
              <w:rPr>
                <w:rFonts w:ascii="Liberation Serif" w:hAnsi="Liberation Serif"/>
              </w:rPr>
              <w:t xml:space="preserve"> – </w:t>
            </w:r>
            <w:r>
              <w:rPr>
                <w:rFonts w:ascii="Liberation Serif" w:hAnsi="Liberation Serif"/>
                <w:lang w:val="en-US"/>
              </w:rPr>
              <w:t>IV</w:t>
            </w:r>
            <w:r>
              <w:rPr>
                <w:rFonts w:ascii="Liberation Serif" w:hAnsi="Liberation Serif"/>
              </w:rPr>
              <w:t xml:space="preserve"> кварталы</w:t>
            </w:r>
          </w:p>
        </w:tc>
      </w:tr>
      <w:tr>
        <w:trPr>
          <w:trHeight w:val="275" w:hRule="atLeast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24</w:t>
            </w:r>
          </w:p>
        </w:tc>
        <w:tc>
          <w:tcPr>
            <w:tcW w:w="5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Местный бюджет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  <w:sz w:val="23"/>
                <w:szCs w:val="23"/>
              </w:rPr>
            </w:pPr>
            <w:r>
              <w:rPr>
                <w:rFonts w:ascii="Liberation Serif" w:hAnsi="Liberation Serif"/>
                <w:sz w:val="23"/>
                <w:szCs w:val="23"/>
              </w:rPr>
              <w:t>675 000,00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132 480,80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20%</w:t>
            </w:r>
          </w:p>
        </w:tc>
        <w:tc>
          <w:tcPr>
            <w:tcW w:w="28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</w:r>
          </w:p>
        </w:tc>
      </w:tr>
      <w:tr>
        <w:trPr>
          <w:trHeight w:val="275" w:hRule="atLeast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25</w:t>
            </w:r>
          </w:p>
        </w:tc>
        <w:tc>
          <w:tcPr>
            <w:tcW w:w="5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Содержание прочих объектов благоустройства в том числе: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  <w:sz w:val="23"/>
                <w:szCs w:val="23"/>
              </w:rPr>
            </w:pPr>
            <w:r>
              <w:rPr>
                <w:rFonts w:ascii="Liberation Serif" w:hAnsi="Liberation Serif"/>
                <w:sz w:val="23"/>
                <w:szCs w:val="23"/>
              </w:rPr>
              <w:t>790 000,00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318 300,00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40%</w:t>
            </w:r>
          </w:p>
        </w:tc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 xml:space="preserve">Мероприятия </w:t>
            </w:r>
            <w:r>
              <w:rPr>
                <w:rFonts w:ascii="Liberation Serif" w:hAnsi="Liberation Serif"/>
              </w:rPr>
              <w:t xml:space="preserve">запланированы на </w:t>
            </w:r>
            <w:r>
              <w:rPr>
                <w:rFonts w:ascii="Liberation Serif" w:hAnsi="Liberation Serif"/>
                <w:lang w:val="en-US"/>
              </w:rPr>
              <w:t>II</w:t>
            </w:r>
            <w:r>
              <w:rPr>
                <w:rFonts w:ascii="Liberation Serif" w:hAnsi="Liberation Serif"/>
              </w:rPr>
              <w:t xml:space="preserve"> – </w:t>
            </w:r>
            <w:r>
              <w:rPr>
                <w:rFonts w:ascii="Liberation Serif" w:hAnsi="Liberation Serif"/>
                <w:lang w:val="en-US"/>
              </w:rPr>
              <w:t>IV</w:t>
            </w:r>
            <w:r>
              <w:rPr>
                <w:rFonts w:ascii="Liberation Serif" w:hAnsi="Liberation Serif"/>
              </w:rPr>
              <w:t xml:space="preserve"> кварталы</w:t>
            </w:r>
          </w:p>
        </w:tc>
      </w:tr>
      <w:tr>
        <w:trPr>
          <w:trHeight w:val="275" w:hRule="atLeast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26</w:t>
            </w:r>
          </w:p>
        </w:tc>
        <w:tc>
          <w:tcPr>
            <w:tcW w:w="5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Местный бюджет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  <w:sz w:val="23"/>
                <w:szCs w:val="23"/>
              </w:rPr>
            </w:pPr>
            <w:r>
              <w:rPr>
                <w:rFonts w:ascii="Liberation Serif" w:hAnsi="Liberation Serif"/>
                <w:sz w:val="23"/>
                <w:szCs w:val="23"/>
              </w:rPr>
              <w:t>790 000,00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318 300,00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40%</w:t>
            </w:r>
          </w:p>
        </w:tc>
        <w:tc>
          <w:tcPr>
            <w:tcW w:w="28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</w:r>
          </w:p>
        </w:tc>
      </w:tr>
      <w:tr>
        <w:trPr>
          <w:trHeight w:val="635" w:hRule="atLeast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27</w:t>
            </w:r>
          </w:p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</w:r>
          </w:p>
        </w:tc>
        <w:tc>
          <w:tcPr>
            <w:tcW w:w="5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Уборка мусора несанкционированных свалок, в том числе: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  <w:sz w:val="23"/>
                <w:szCs w:val="23"/>
              </w:rPr>
            </w:pPr>
            <w:r>
              <w:rPr>
                <w:rFonts w:ascii="Liberation Serif" w:hAnsi="Liberation Serif"/>
                <w:sz w:val="23"/>
                <w:szCs w:val="23"/>
              </w:rPr>
              <w:t xml:space="preserve"> </w:t>
            </w:r>
            <w:r>
              <w:rPr>
                <w:rFonts w:ascii="Liberation Serif" w:hAnsi="Liberation Serif"/>
                <w:sz w:val="23"/>
                <w:szCs w:val="23"/>
              </w:rPr>
              <w:t>316 486,00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20 000,00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6%</w:t>
            </w:r>
          </w:p>
        </w:tc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 xml:space="preserve">Мероприятия </w:t>
            </w:r>
            <w:r>
              <w:rPr>
                <w:rFonts w:ascii="Liberation Serif" w:hAnsi="Liberation Serif"/>
              </w:rPr>
              <w:t xml:space="preserve">запланированы на </w:t>
            </w:r>
            <w:r>
              <w:rPr>
                <w:rFonts w:ascii="Liberation Serif" w:hAnsi="Liberation Serif"/>
                <w:lang w:val="en-US"/>
              </w:rPr>
              <w:t>II</w:t>
            </w:r>
            <w:r>
              <w:rPr>
                <w:rFonts w:ascii="Liberation Serif" w:hAnsi="Liberation Serif"/>
              </w:rPr>
              <w:t xml:space="preserve"> – </w:t>
            </w:r>
            <w:r>
              <w:rPr>
                <w:rFonts w:ascii="Liberation Serif" w:hAnsi="Liberation Serif"/>
                <w:lang w:val="en-US"/>
              </w:rPr>
              <w:t>IV</w:t>
            </w:r>
            <w:r>
              <w:rPr>
                <w:rFonts w:ascii="Liberation Serif" w:hAnsi="Liberation Serif"/>
              </w:rPr>
              <w:t xml:space="preserve"> кварталы</w:t>
            </w:r>
          </w:p>
        </w:tc>
      </w:tr>
      <w:tr>
        <w:trPr>
          <w:trHeight w:val="175" w:hRule="atLeast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28</w:t>
            </w:r>
          </w:p>
        </w:tc>
        <w:tc>
          <w:tcPr>
            <w:tcW w:w="5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Местный бюджет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  <w:sz w:val="23"/>
                <w:szCs w:val="23"/>
              </w:rPr>
            </w:pPr>
            <w:r>
              <w:rPr>
                <w:rFonts w:ascii="Liberation Serif" w:hAnsi="Liberation Serif"/>
                <w:sz w:val="23"/>
                <w:szCs w:val="23"/>
              </w:rPr>
              <w:t>316 486,00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20 000,00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6%</w:t>
            </w:r>
          </w:p>
        </w:tc>
        <w:tc>
          <w:tcPr>
            <w:tcW w:w="28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</w:r>
          </w:p>
        </w:tc>
      </w:tr>
      <w:tr>
        <w:trPr>
          <w:trHeight w:val="323" w:hRule="atLeast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29</w:t>
            </w:r>
          </w:p>
        </w:tc>
        <w:tc>
          <w:tcPr>
            <w:tcW w:w="5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Приобретение, установка контейнеров, урн, изготовление, установка и содержание контейнерных площадок, ремонт контейнеров и контейнерных площадок, урн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2 608 935,22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1 437 765,72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55%</w:t>
            </w:r>
          </w:p>
        </w:tc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 xml:space="preserve">Мероприятия </w:t>
            </w:r>
            <w:r>
              <w:rPr>
                <w:rFonts w:ascii="Liberation Serif" w:hAnsi="Liberation Serif"/>
              </w:rPr>
              <w:t xml:space="preserve">запланированы на </w:t>
            </w:r>
            <w:r>
              <w:rPr>
                <w:rFonts w:ascii="Liberation Serif" w:hAnsi="Liberation Serif"/>
                <w:lang w:val="en-US"/>
              </w:rPr>
              <w:t>II</w:t>
            </w:r>
            <w:r>
              <w:rPr>
                <w:rFonts w:ascii="Liberation Serif" w:hAnsi="Liberation Serif"/>
              </w:rPr>
              <w:t xml:space="preserve"> – </w:t>
            </w:r>
            <w:r>
              <w:rPr>
                <w:rFonts w:ascii="Liberation Serif" w:hAnsi="Liberation Serif"/>
                <w:lang w:val="en-US"/>
              </w:rPr>
              <w:t>IV</w:t>
            </w:r>
            <w:r>
              <w:rPr>
                <w:rFonts w:ascii="Liberation Serif" w:hAnsi="Liberation Serif"/>
              </w:rPr>
              <w:t xml:space="preserve"> кварталы</w:t>
            </w:r>
          </w:p>
        </w:tc>
      </w:tr>
      <w:tr>
        <w:trPr>
          <w:trHeight w:val="323" w:hRule="atLeast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30</w:t>
            </w:r>
          </w:p>
        </w:tc>
        <w:tc>
          <w:tcPr>
            <w:tcW w:w="5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Местный бюджет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/>
                <w:sz w:val="23"/>
                <w:szCs w:val="23"/>
              </w:rPr>
            </w:pPr>
            <w:r>
              <w:rPr>
                <w:rFonts w:ascii="Liberation Serif" w:hAnsi="Liberation Serif"/>
                <w:sz w:val="23"/>
                <w:szCs w:val="23"/>
              </w:rPr>
              <w:t>2 608 935,22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1 437 765,72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55%</w:t>
            </w:r>
          </w:p>
        </w:tc>
        <w:tc>
          <w:tcPr>
            <w:tcW w:w="28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</w:r>
          </w:p>
        </w:tc>
      </w:tr>
      <w:tr>
        <w:trPr>
          <w:trHeight w:val="535" w:hRule="atLeast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31</w:t>
            </w:r>
          </w:p>
        </w:tc>
        <w:tc>
          <w:tcPr>
            <w:tcW w:w="5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Проведение мероприятий по уничтожению борщевика Сосновского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/>
                <w:sz w:val="23"/>
                <w:szCs w:val="23"/>
              </w:rPr>
            </w:pPr>
            <w:r>
              <w:rPr>
                <w:rFonts w:ascii="Liberation Serif" w:hAnsi="Liberation Serif"/>
                <w:sz w:val="23"/>
                <w:szCs w:val="23"/>
              </w:rPr>
              <w:t>1 000 000,00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0%</w:t>
            </w:r>
          </w:p>
        </w:tc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eastAsia="Times New Roman" w:cs="Times New Roman"/>
                <w:color w:val="auto"/>
                <w:kern w:val="0"/>
                <w:sz w:val="23"/>
                <w:szCs w:val="23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3"/>
                <w:szCs w:val="23"/>
                <w:lang w:val="ru-RU" w:eastAsia="ru-RU" w:bidi="ar-SA"/>
              </w:rPr>
              <w:t xml:space="preserve">Заключен муниципальный контракт, № 19 от 26.05.25г. Работы по данному куонтракту не приняты, так как выполнены в неполном объеме </w:t>
            </w:r>
          </w:p>
        </w:tc>
      </w:tr>
      <w:tr>
        <w:trPr>
          <w:trHeight w:val="323" w:hRule="atLeast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32</w:t>
            </w:r>
          </w:p>
        </w:tc>
        <w:tc>
          <w:tcPr>
            <w:tcW w:w="5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Местный бюджет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/>
                <w:sz w:val="23"/>
                <w:szCs w:val="23"/>
              </w:rPr>
            </w:pPr>
            <w:r>
              <w:rPr>
                <w:rFonts w:ascii="Liberation Serif" w:hAnsi="Liberation Serif"/>
                <w:sz w:val="23"/>
                <w:szCs w:val="23"/>
              </w:rPr>
              <w:t>1 000 000,00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0%</w:t>
            </w:r>
          </w:p>
        </w:tc>
        <w:tc>
          <w:tcPr>
            <w:tcW w:w="28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</w:r>
          </w:p>
        </w:tc>
      </w:tr>
      <w:tr>
        <w:trPr>
          <w:trHeight w:val="323" w:hRule="atLeast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33</w:t>
            </w:r>
          </w:p>
        </w:tc>
        <w:tc>
          <w:tcPr>
            <w:tcW w:w="5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Приведение в порядок воинских захоронений и мемориальных комплексов на захоронение воинов, погибших в годы ВОВ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/>
                <w:sz w:val="23"/>
                <w:szCs w:val="23"/>
                <w:lang w:val="en-US"/>
              </w:rPr>
            </w:pPr>
            <w:r>
              <w:rPr>
                <w:rFonts w:ascii="Liberation Serif" w:hAnsi="Liberation Serif"/>
                <w:sz w:val="23"/>
                <w:szCs w:val="23"/>
                <w:lang w:val="en-US"/>
              </w:rPr>
              <w:t>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0%</w:t>
            </w:r>
          </w:p>
        </w:tc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eastAsia="Times New Roman" w:cs="Times New Roman"/>
                <w:color w:val="auto"/>
                <w:kern w:val="0"/>
                <w:sz w:val="23"/>
                <w:szCs w:val="23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3"/>
                <w:szCs w:val="23"/>
                <w:lang w:val="ru-RU" w:eastAsia="ru-RU" w:bidi="ar-SA"/>
              </w:rPr>
              <w:t xml:space="preserve">Мероприятия не запланированы </w:t>
            </w:r>
          </w:p>
        </w:tc>
      </w:tr>
      <w:tr>
        <w:trPr>
          <w:trHeight w:val="323" w:hRule="atLeast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34</w:t>
            </w:r>
          </w:p>
        </w:tc>
        <w:tc>
          <w:tcPr>
            <w:tcW w:w="5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 xml:space="preserve">Местный бюджет 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/>
                <w:sz w:val="23"/>
                <w:szCs w:val="23"/>
                <w:lang w:val="en-US"/>
              </w:rPr>
            </w:pPr>
            <w:r>
              <w:rPr>
                <w:rFonts w:ascii="Liberation Serif" w:hAnsi="Liberation Serif"/>
                <w:sz w:val="23"/>
                <w:szCs w:val="23"/>
                <w:lang w:val="en-US"/>
              </w:rPr>
              <w:t>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  <w:t>0%</w:t>
            </w:r>
          </w:p>
        </w:tc>
        <w:tc>
          <w:tcPr>
            <w:tcW w:w="28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cs="Times New Roman" w:ascii="Liberation Serif" w:hAnsi="Liberation Serif"/>
                <w:sz w:val="23"/>
                <w:szCs w:val="23"/>
              </w:rPr>
            </w:r>
          </w:p>
        </w:tc>
      </w:tr>
    </w:tbl>
    <w:p>
      <w:pPr>
        <w:sectPr>
          <w:type w:val="nextPage"/>
          <w:pgSz w:orient="landscape" w:w="16838" w:h="11906"/>
          <w:pgMar w:left="567" w:right="1106" w:header="0" w:top="567" w:footer="0" w:bottom="709" w:gutter="0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8"/>
          <w:tab w:val="left" w:pos="1455" w:leader="none"/>
        </w:tabs>
        <w:jc w:val="center"/>
        <w:rPr>
          <w:rFonts w:ascii="Liberation Serif" w:hAnsi="Liberation Serif"/>
          <w:sz w:val="23"/>
          <w:szCs w:val="23"/>
        </w:rPr>
      </w:pPr>
      <w:r>
        <w:rPr>
          <w:rFonts w:ascii="Liberation Serif" w:hAnsi="Liberation Serif"/>
          <w:sz w:val="23"/>
          <w:szCs w:val="23"/>
        </w:rPr>
        <mc:AlternateContent>
          <mc:Choice Requires="wps">
            <w:drawing>
              <wp:anchor behindDoc="0" distT="0" distB="0" distL="0" distR="0" simplePos="0" locked="0" layoutInCell="1" allowOverlap="1" relativeHeight="2">
                <wp:simplePos x="0" y="0"/>
                <wp:positionH relativeFrom="column">
                  <wp:posOffset>7653020</wp:posOffset>
                </wp:positionH>
                <wp:positionV relativeFrom="paragraph">
                  <wp:posOffset>19050</wp:posOffset>
                </wp:positionV>
                <wp:extent cx="1804035" cy="4445"/>
                <wp:effectExtent l="0" t="0" r="0" b="0"/>
                <wp:wrapNone/>
                <wp:docPr id="1" name="Изображение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240" cy="396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Normal"/>
        <w:tabs>
          <w:tab w:val="clear" w:pos="708"/>
          <w:tab w:val="left" w:pos="1455" w:leader="none"/>
        </w:tabs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ПОЯСНИТЕЛЬНАЯ ЗАПИСКА</w:t>
      </w:r>
      <w:bookmarkStart w:id="0" w:name="_GoBack"/>
      <w:bookmarkEnd w:id="0"/>
    </w:p>
    <w:p>
      <w:pPr>
        <w:pStyle w:val="Normal"/>
        <w:tabs>
          <w:tab w:val="clear" w:pos="708"/>
          <w:tab w:val="left" w:pos="1455" w:leader="none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</w:r>
    </w:p>
    <w:p>
      <w:pPr>
        <w:pStyle w:val="ConsPlusNormal"/>
        <w:spacing w:lineRule="auto" w:line="276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cs="Times New Roman" w:ascii="Liberation Serif" w:hAnsi="Liberation Serif"/>
          <w:sz w:val="28"/>
          <w:szCs w:val="28"/>
        </w:rPr>
        <w:t xml:space="preserve">В рамках подпрограммы  «Развитие жилищно-коммунального хозяйства и повышение энергетической эффективности в Шалинском </w:t>
      </w:r>
      <w:r>
        <w:rPr>
          <w:rFonts w:eastAsia="Times New Roman" w:cs="Times New Roman" w:ascii="Liberation Serif" w:hAnsi="Liberation Serif"/>
          <w:color w:val="auto"/>
          <w:kern w:val="0"/>
          <w:sz w:val="28"/>
          <w:szCs w:val="28"/>
          <w:lang w:val="ru-RU" w:eastAsia="ru-RU" w:bidi="ar-SA"/>
        </w:rPr>
        <w:t>муниципальном</w:t>
      </w:r>
      <w:r>
        <w:rPr>
          <w:rFonts w:cs="Times New Roman" w:ascii="Liberation Serif" w:hAnsi="Liberation Serif"/>
          <w:sz w:val="28"/>
          <w:szCs w:val="28"/>
        </w:rPr>
        <w:t xml:space="preserve"> округе до 2030 года» за 1 полугодие 2025 года реализованы следующие мероприятия:</w:t>
      </w:r>
    </w:p>
    <w:p>
      <w:pPr>
        <w:pStyle w:val="ConsPlusNormal"/>
        <w:spacing w:lineRule="auto" w:line="276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cs="Times New Roman" w:ascii="Liberation Serif" w:hAnsi="Liberation Serif"/>
          <w:sz w:val="28"/>
          <w:szCs w:val="28"/>
        </w:rPr>
        <w:t>«Уличное освещение» - в рамках данного мероприятия главами приобретаются расходные материалы для обеспечения освещения, а так же плата за электроэнергию, оплата услуг электромонтёра.</w:t>
      </w:r>
    </w:p>
    <w:p>
      <w:pPr>
        <w:pStyle w:val="ConsPlusNormal"/>
        <w:spacing w:lineRule="auto" w:line="276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cs="Times New Roman" w:ascii="Liberation Serif" w:hAnsi="Liberation Serif"/>
          <w:sz w:val="28"/>
          <w:szCs w:val="28"/>
        </w:rPr>
        <w:t xml:space="preserve">«Содержание мест захоронения» в рамках данного мероприятия главами сельских и поселковых администрации администрации Шалинского </w:t>
      </w:r>
      <w:r>
        <w:rPr>
          <w:rFonts w:eastAsia="Times New Roman" w:cs="Times New Roman" w:ascii="Liberation Serif" w:hAnsi="Liberation Serif"/>
          <w:color w:val="auto"/>
          <w:kern w:val="0"/>
          <w:sz w:val="28"/>
          <w:szCs w:val="28"/>
          <w:lang w:val="ru-RU" w:eastAsia="ru-RU" w:bidi="ar-SA"/>
        </w:rPr>
        <w:t>муниципального</w:t>
      </w:r>
      <w:r>
        <w:rPr>
          <w:rFonts w:cs="Times New Roman" w:ascii="Liberation Serif" w:hAnsi="Liberation Serif"/>
          <w:sz w:val="28"/>
          <w:szCs w:val="28"/>
        </w:rPr>
        <w:t xml:space="preserve"> округа заключены договоры с ФБУЗ "Центр гигиены и эпидемиологии Свердловской области" по акарицидной и дератизационной обработке, а так же на исследование заклещенности. </w:t>
      </w:r>
    </w:p>
    <w:p>
      <w:pPr>
        <w:pStyle w:val="ConsPlusNormal"/>
        <w:spacing w:lineRule="auto" w:line="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«Обустройство и содержание парков и зон отдыха» - приобретение хозяйственных товаров для содержания парка (перчатки, мешки для мусора, кисти, ); проведение акарицидной обработки в парке пгт. Шаля,  ул. Орджоникидзе, 5 Ж; Шалинской п/а — возмещены расходы за приобретенией цепей, приобретение мраморной крошки. Платоновской с/а- закупка лески, масла, труб. </w:t>
      </w:r>
    </w:p>
    <w:p>
      <w:pPr>
        <w:pStyle w:val="ConsPlusNormal"/>
        <w:spacing w:lineRule="auto" w:line="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«Содержание прочих объектов благоустройства» - главами сельских и поселковых администрации приобретены материалы для проведения косметического ремонта памятников и мемориалов воинам ВОВ. Росинской с/а приобретен информационный стенд. </w:t>
      </w:r>
    </w:p>
    <w:p>
      <w:pPr>
        <w:pStyle w:val="ConsPlusNormal"/>
        <w:spacing w:lineRule="auto" w:line="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«Уборка мусора несанкционированных свалок»  - уборка стихийных свалок на территории </w:t>
      </w:r>
      <w:r>
        <w:rPr>
          <w:rFonts w:eastAsia="Times New Roman" w:cs="Times New Roman" w:ascii="Times New Roman" w:hAnsi="Times New Roman"/>
          <w:color w:val="auto"/>
          <w:kern w:val="0"/>
          <w:sz w:val="28"/>
          <w:szCs w:val="28"/>
          <w:lang w:val="ru-RU" w:eastAsia="ru-RU" w:bidi="ar-SA"/>
        </w:rPr>
        <w:t>с. Роща.</w:t>
      </w:r>
    </w:p>
    <w:p>
      <w:pPr>
        <w:pStyle w:val="ConsPlusNormal"/>
        <w:spacing w:lineRule="auto" w:line="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«Приобретение, установка контейнеров, урн, изготовление, установка и содержание контейнерных площадок, ремонт контейнеров и контейнерных площадок, урн» –заключены контракты на расчистку подъездных путей к контейнерным площадкам в зимний период, покос травы в летний период;</w:t>
      </w:r>
    </w:p>
    <w:p>
      <w:pPr>
        <w:pStyle w:val="ConsPlusNormal"/>
        <w:spacing w:lineRule="auto" w:line="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Предложения по дальнейшей реализации муниципальной программы.</w:t>
      </w:r>
    </w:p>
    <w:p>
      <w:pPr>
        <w:pStyle w:val="ConsPlusNormal"/>
        <w:spacing w:lineRule="auto" w:line="276"/>
        <w:ind w:left="0" w:righ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- Реализовать мероприятия по целевому показателю «Количество обустроенных контейнерных площадок», организовать обустройство площадок для накопления крупногабаритных отходов и площадок для накопления твердых коммунальных отходов.</w:t>
      </w:r>
    </w:p>
    <w:p>
      <w:pPr>
        <w:pStyle w:val="ConsPlusNormal"/>
        <w:spacing w:lineRule="auto" w:line="276"/>
        <w:ind w:left="0" w:righ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- Главам сельских и поселковых администрации выявлять и своевременно принимать меры по ликвидации несанкционированных свалок в черте населенных пунктов. </w:t>
      </w:r>
    </w:p>
    <w:p>
      <w:pPr>
        <w:pStyle w:val="ConsPlusNormal"/>
        <w:spacing w:lineRule="auto" w:line="276"/>
        <w:ind w:left="0" w:righ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- Главам сельских и поселковых администрации организовать содержание контейнерных площадок.</w:t>
      </w:r>
    </w:p>
    <w:p>
      <w:pPr>
        <w:pStyle w:val="ConsPlusNormal"/>
        <w:spacing w:lineRule="auto" w:line="276"/>
        <w:ind w:left="0" w:righ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1455" w:leader="none"/>
        </w:tabs>
        <w:rPr>
          <w:rFonts w:ascii="Liberation Serif" w:hAnsi="Liberation Serif"/>
        </w:rPr>
      </w:pPr>
      <w:r>
        <w:rPr>
          <w:rFonts w:ascii="Liberation Serif" w:hAnsi="Liberation Serif"/>
          <w:sz w:val="28"/>
          <w:szCs w:val="28"/>
        </w:rPr>
        <w:t xml:space="preserve">Авдеева Алена Игоревна </w:t>
      </w:r>
    </w:p>
    <w:p>
      <w:pPr>
        <w:pStyle w:val="Normal"/>
        <w:tabs>
          <w:tab w:val="clear" w:pos="708"/>
          <w:tab w:val="left" w:pos="1455" w:leader="none"/>
        </w:tabs>
        <w:rPr>
          <w:rFonts w:ascii="Liberation Serif" w:hAnsi="Liberation Serif"/>
          <w:sz w:val="23"/>
          <w:szCs w:val="23"/>
        </w:rPr>
      </w:pPr>
      <w:r>
        <w:rPr>
          <w:rFonts w:ascii="Liberation Serif" w:hAnsi="Liberation Serif"/>
        </w:rPr>
        <w:t>(34358)2-24-93</w:t>
      </w:r>
    </w:p>
    <w:sectPr>
      <w:type w:val="nextPage"/>
      <w:pgSz w:w="11906" w:h="16838"/>
      <w:pgMar w:left="1134" w:right="709" w:header="0" w:top="1106" w:footer="0" w:bottom="56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2392b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872585"/>
    <w:rPr>
      <w:rFonts w:ascii="Tahoma" w:hAnsi="Tahoma" w:eastAsia="Times New Roman" w:cs="Tahoma"/>
      <w:sz w:val="16"/>
      <w:szCs w:val="16"/>
      <w:lang w:eastAsia="ru-RU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Mang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ConsPlusNormal" w:customStyle="1">
    <w:name w:val="ConsPlusNormal"/>
    <w:qFormat/>
    <w:rsid w:val="0012392b"/>
    <w:pPr>
      <w:widowControl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PlusCell" w:customStyle="1">
    <w:name w:val="ConsPlusCell"/>
    <w:uiPriority w:val="99"/>
    <w:qFormat/>
    <w:rsid w:val="0012392b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NormalWeb">
    <w:name w:val="Normal (Web)"/>
    <w:basedOn w:val="Normal"/>
    <w:uiPriority w:val="99"/>
    <w:qFormat/>
    <w:rsid w:val="0012392b"/>
    <w:pPr>
      <w:spacing w:beforeAutospacing="1" w:afterAutospacing="1"/>
    </w:pPr>
    <w:rPr>
      <w:sz w:val="20"/>
      <w:szCs w:val="20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872585"/>
    <w:pPr/>
    <w:rPr>
      <w:rFonts w:ascii="Tahoma" w:hAnsi="Tahoma" w:cs="Tahoma"/>
      <w:sz w:val="16"/>
      <w:szCs w:val="16"/>
    </w:rPr>
  </w:style>
  <w:style w:type="paragraph" w:styleId="Style20">
    <w:name w:val="Содержимое таблицы"/>
    <w:basedOn w:val="Normal"/>
    <w:qFormat/>
    <w:pPr>
      <w:suppressLineNumbers/>
    </w:pPr>
    <w:rPr/>
  </w:style>
  <w:style w:type="paragraph" w:styleId="Style21">
    <w:name w:val="Заголовок таблицы"/>
    <w:basedOn w:val="Style20"/>
    <w:qFormat/>
    <w:pPr>
      <w:suppressLineNumbers/>
      <w:jc w:val="center"/>
    </w:pPr>
    <w:rPr>
      <w:b/>
      <w:bCs/>
    </w:rPr>
  </w:style>
  <w:style w:type="paragraph" w:styleId="NormalTable">
    <w:name w:val="Normal Table"/>
    <w:qFormat/>
    <w:pPr>
      <w:widowControl/>
      <w:suppressAutoHyphens w:val="true"/>
      <w:bidi w:val="0"/>
      <w:spacing w:before="0" w:after="0"/>
      <w:jc w:val="left"/>
      <w:textAlignment w:val="auto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7CA83-E8B5-4E35-9309-5B406E05D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2138</TotalTime>
  <Application>LibreOffice/6.4.4.2$Windows_X86_64 LibreOffice_project/3d775be2011f3886db32dfd395a6a6d1ca2630ff</Application>
  <Pages>4</Pages>
  <Words>950</Words>
  <Characters>6253</Characters>
  <CharactersWithSpaces>7055</CharactersWithSpaces>
  <Paragraphs>239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dc:description/>
  <dc:language>ru-RU</dc:language>
  <cp:lastModifiedBy/>
  <dcterms:modified xsi:type="dcterms:W3CDTF">2025-07-29T16:41:48Z</dcterms:modified>
  <cp:revision>68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